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ECC1" w14:textId="77777777" w:rsidR="004A1183" w:rsidRDefault="004A1183" w:rsidP="00774FD6">
      <w:pPr>
        <w:pStyle w:val="Series"/>
      </w:pPr>
    </w:p>
    <w:p w14:paraId="19729570" w14:textId="77777777" w:rsidR="004A1183" w:rsidRDefault="004A1183" w:rsidP="00774FD6">
      <w:pPr>
        <w:pStyle w:val="Series"/>
      </w:pPr>
    </w:p>
    <w:p w14:paraId="5BDB9DB0" w14:textId="77777777" w:rsidR="007A3A72" w:rsidRDefault="007A3A72" w:rsidP="007A3A72">
      <w:pPr>
        <w:pStyle w:val="Series"/>
        <w:spacing w:after="0"/>
        <w:rPr>
          <w:color w:val="197C7D"/>
        </w:rPr>
      </w:pPr>
      <w:r w:rsidRPr="00DE3FAA">
        <w:rPr>
          <w:color w:val="197C7D"/>
        </w:rPr>
        <w:t>Safeguard Mechanism reform</w:t>
      </w:r>
      <w:r w:rsidR="00AA590F">
        <w:rPr>
          <w:color w:val="197C7D"/>
        </w:rPr>
        <w:t xml:space="preserve"> </w:t>
      </w:r>
      <w:r w:rsidRPr="00DE3FAA">
        <w:rPr>
          <w:color w:val="197C7D"/>
        </w:rPr>
        <w:t>consultation</w:t>
      </w:r>
      <w:r w:rsidR="00510574">
        <w:rPr>
          <w:color w:val="197C7D"/>
        </w:rPr>
        <w:t xml:space="preserve"> -</w:t>
      </w:r>
      <w:r w:rsidRPr="00DE3FAA">
        <w:rPr>
          <w:color w:val="197C7D"/>
        </w:rPr>
        <w:t xml:space="preserve"> factsheet</w:t>
      </w:r>
      <w:r>
        <w:rPr>
          <w:color w:val="197C7D"/>
        </w:rPr>
        <w:t xml:space="preserve"> 4</w:t>
      </w:r>
    </w:p>
    <w:p w14:paraId="133D4507" w14:textId="77777777" w:rsidR="004A1183" w:rsidRDefault="004A1183" w:rsidP="004A1183">
      <w:pPr>
        <w:pStyle w:val="Series"/>
        <w:spacing w:before="40"/>
        <w:rPr>
          <w:color w:val="197C7D"/>
          <w:sz w:val="24"/>
          <w:szCs w:val="24"/>
        </w:rPr>
      </w:pPr>
      <w:r>
        <w:rPr>
          <w:color w:val="197C7D"/>
          <w:sz w:val="24"/>
          <w:szCs w:val="24"/>
        </w:rPr>
        <w:t>January 2023</w:t>
      </w:r>
    </w:p>
    <w:p w14:paraId="308DDA16" w14:textId="77777777" w:rsidR="00B82095" w:rsidRPr="00510574" w:rsidRDefault="008E14F5" w:rsidP="00220618">
      <w:pPr>
        <w:pStyle w:val="Heading1"/>
        <w:rPr>
          <w:rFonts w:eastAsiaTheme="minorEastAsia"/>
          <w:color w:val="197C7D" w:themeColor="text2"/>
          <w:spacing w:val="0"/>
          <w:kern w:val="0"/>
          <w:sz w:val="36"/>
          <w:szCs w:val="36"/>
          <w:lang w:eastAsia="ja-JP"/>
        </w:rPr>
      </w:pPr>
      <w:r w:rsidRPr="00510574">
        <w:rPr>
          <w:rFonts w:eastAsiaTheme="minorEastAsia"/>
          <w:color w:val="197C7D" w:themeColor="text2"/>
          <w:spacing w:val="0"/>
          <w:kern w:val="0"/>
          <w:sz w:val="36"/>
          <w:szCs w:val="36"/>
          <w:lang w:eastAsia="ja-JP"/>
        </w:rPr>
        <w:t>Emissions limits at new facilities</w:t>
      </w:r>
    </w:p>
    <w:p w14:paraId="4CF44ED7" w14:textId="77777777" w:rsidR="00B25C9A" w:rsidRPr="007A3A72" w:rsidRDefault="00B25C9A" w:rsidP="00EB4B5A">
      <w:pPr>
        <w:rPr>
          <w:i/>
          <w:color w:val="197C7D" w:themeColor="accent2"/>
        </w:rPr>
      </w:pPr>
      <w:r w:rsidRPr="007A3A72">
        <w:rPr>
          <w:i/>
          <w:color w:val="197C7D" w:themeColor="accent2"/>
        </w:rPr>
        <w:t xml:space="preserve">Baselines for new facilities will be set </w:t>
      </w:r>
      <w:r w:rsidR="00697118">
        <w:rPr>
          <w:i/>
          <w:color w:val="197C7D" w:themeColor="accent2"/>
        </w:rPr>
        <w:t>in line with</w:t>
      </w:r>
      <w:r w:rsidRPr="007A3A72">
        <w:rPr>
          <w:i/>
          <w:color w:val="197C7D" w:themeColor="accent2"/>
        </w:rPr>
        <w:t xml:space="preserve"> international best practice. This sends a strong signal to investors that Australia is on a pathway to net zero and new production must support this goal. </w:t>
      </w:r>
    </w:p>
    <w:p w14:paraId="53816792" w14:textId="77777777" w:rsidR="001C54D4" w:rsidRDefault="001C54D4" w:rsidP="001C54D4">
      <w:pPr>
        <w:pStyle w:val="Heading2"/>
      </w:pPr>
      <w:r>
        <w:t>How will emissions limits be set for new facilities?</w:t>
      </w:r>
    </w:p>
    <w:p w14:paraId="266F213C" w14:textId="77777777" w:rsidR="00343B8A" w:rsidRDefault="00CB6330" w:rsidP="00343B8A">
      <w:pPr>
        <w:rPr>
          <w:lang w:eastAsia="ja-JP"/>
        </w:rPr>
      </w:pPr>
      <w:r>
        <w:rPr>
          <w:lang w:eastAsia="ja-JP"/>
        </w:rPr>
        <w:t>E</w:t>
      </w:r>
      <w:r w:rsidR="00343B8A">
        <w:rPr>
          <w:lang w:eastAsia="ja-JP"/>
        </w:rPr>
        <w:t>missions lim</w:t>
      </w:r>
      <w:r>
        <w:rPr>
          <w:lang w:eastAsia="ja-JP"/>
        </w:rPr>
        <w:t>its (</w:t>
      </w:r>
      <w:r w:rsidR="007A3A72">
        <w:rPr>
          <w:lang w:eastAsia="ja-JP"/>
        </w:rPr>
        <w:t xml:space="preserve">or </w:t>
      </w:r>
      <w:r>
        <w:rPr>
          <w:lang w:eastAsia="ja-JP"/>
        </w:rPr>
        <w:t>baselines) for new facilities</w:t>
      </w:r>
      <w:r w:rsidR="00343B8A">
        <w:rPr>
          <w:lang w:eastAsia="ja-JP"/>
        </w:rPr>
        <w:t xml:space="preserve"> will be set </w:t>
      </w:r>
      <w:r w:rsidR="007A3A72">
        <w:rPr>
          <w:lang w:eastAsia="ja-JP"/>
        </w:rPr>
        <w:t>in line with</w:t>
      </w:r>
      <w:r w:rsidR="00C5786F">
        <w:rPr>
          <w:lang w:eastAsia="ja-JP"/>
        </w:rPr>
        <w:t xml:space="preserve"> </w:t>
      </w:r>
      <w:r w:rsidR="00B25C9A">
        <w:rPr>
          <w:lang w:eastAsia="ja-JP"/>
        </w:rPr>
        <w:t>international</w:t>
      </w:r>
      <w:r w:rsidR="00343B8A">
        <w:rPr>
          <w:lang w:eastAsia="ja-JP"/>
        </w:rPr>
        <w:t xml:space="preserve"> best practice</w:t>
      </w:r>
      <w:r w:rsidR="00C5786F">
        <w:rPr>
          <w:lang w:eastAsia="ja-JP"/>
        </w:rPr>
        <w:t xml:space="preserve">, </w:t>
      </w:r>
      <w:r w:rsidR="001B26DC">
        <w:rPr>
          <w:lang w:eastAsia="ja-JP"/>
        </w:rPr>
        <w:t>adapted</w:t>
      </w:r>
      <w:r w:rsidR="00C5786F">
        <w:rPr>
          <w:lang w:eastAsia="ja-JP"/>
        </w:rPr>
        <w:t xml:space="preserve"> for an Australian context</w:t>
      </w:r>
      <w:r w:rsidR="00343B8A">
        <w:rPr>
          <w:lang w:eastAsia="ja-JP"/>
        </w:rPr>
        <w:t>.</w:t>
      </w:r>
      <w:r w:rsidR="00284B41">
        <w:rPr>
          <w:lang w:eastAsia="ja-JP"/>
        </w:rPr>
        <w:t xml:space="preserve"> </w:t>
      </w:r>
    </w:p>
    <w:p w14:paraId="105AC26E" w14:textId="5C48D368" w:rsidR="00284B41" w:rsidRDefault="00284B41" w:rsidP="00343B8A">
      <w:pPr>
        <w:rPr>
          <w:lang w:eastAsia="ja-JP"/>
        </w:rPr>
      </w:pPr>
      <w:r>
        <w:rPr>
          <w:lang w:eastAsia="ja-JP"/>
        </w:rPr>
        <w:t xml:space="preserve">New investments differ from existing production </w:t>
      </w:r>
      <w:r w:rsidR="00697118">
        <w:rPr>
          <w:lang w:eastAsia="ja-JP"/>
        </w:rPr>
        <w:t>because</w:t>
      </w:r>
      <w:r>
        <w:rPr>
          <w:lang w:eastAsia="ja-JP"/>
        </w:rPr>
        <w:t xml:space="preserve"> they </w:t>
      </w:r>
      <w:r w:rsidR="00737CDA">
        <w:rPr>
          <w:lang w:eastAsia="ja-JP"/>
        </w:rPr>
        <w:t>can</w:t>
      </w:r>
      <w:r>
        <w:rPr>
          <w:lang w:eastAsia="ja-JP"/>
        </w:rPr>
        <w:t xml:space="preserve"> design for and build to best practice standard</w:t>
      </w:r>
      <w:r w:rsidR="00737CDA">
        <w:rPr>
          <w:lang w:eastAsia="ja-JP"/>
        </w:rPr>
        <w:t>s using the latest technology</w:t>
      </w:r>
      <w:r>
        <w:rPr>
          <w:lang w:eastAsia="ja-JP"/>
        </w:rPr>
        <w:t>. Setting emissions limits for new facilities usi</w:t>
      </w:r>
      <w:r w:rsidR="00FD7A4D">
        <w:rPr>
          <w:lang w:eastAsia="ja-JP"/>
        </w:rPr>
        <w:t xml:space="preserve">ng </w:t>
      </w:r>
      <w:r w:rsidR="001B26DC">
        <w:rPr>
          <w:lang w:eastAsia="ja-JP"/>
        </w:rPr>
        <w:t>weaker</w:t>
      </w:r>
      <w:r w:rsidR="00FD7A4D">
        <w:rPr>
          <w:lang w:eastAsia="ja-JP"/>
        </w:rPr>
        <w:t xml:space="preserve"> emissions limits (for example,</w:t>
      </w:r>
      <w:r>
        <w:rPr>
          <w:lang w:eastAsia="ja-JP"/>
        </w:rPr>
        <w:t xml:space="preserve"> industry average emissions intensity) risks locking</w:t>
      </w:r>
      <w:r w:rsidR="00697118">
        <w:rPr>
          <w:lang w:eastAsia="ja-JP"/>
        </w:rPr>
        <w:t xml:space="preserve"> </w:t>
      </w:r>
      <w:r>
        <w:rPr>
          <w:lang w:eastAsia="ja-JP"/>
        </w:rPr>
        <w:t>in</w:t>
      </w:r>
      <w:r w:rsidR="00C5786F">
        <w:rPr>
          <w:lang w:eastAsia="ja-JP"/>
        </w:rPr>
        <w:t xml:space="preserve"> higher emissions intensity</w:t>
      </w:r>
      <w:r w:rsidR="00140BBD">
        <w:rPr>
          <w:lang w:eastAsia="ja-JP"/>
        </w:rPr>
        <w:t xml:space="preserve"> for </w:t>
      </w:r>
      <w:r>
        <w:rPr>
          <w:lang w:eastAsia="ja-JP"/>
        </w:rPr>
        <w:t>long lived assets</w:t>
      </w:r>
      <w:r w:rsidR="00C5786F">
        <w:rPr>
          <w:lang w:eastAsia="ja-JP"/>
        </w:rPr>
        <w:t>. This would be inconsistent with a net zero pathway.</w:t>
      </w:r>
    </w:p>
    <w:p w14:paraId="04E1C251" w14:textId="77777777" w:rsidR="00B25C9A" w:rsidRDefault="00B25C9A" w:rsidP="00B25C9A">
      <w:pPr>
        <w:pStyle w:val="Heading2"/>
      </w:pPr>
      <w:r>
        <w:t>Who do they apply to?</w:t>
      </w:r>
    </w:p>
    <w:p w14:paraId="63E8546C" w14:textId="5B6428E9" w:rsidR="00B25C9A" w:rsidRPr="00EB4B5A" w:rsidRDefault="00B25C9A" w:rsidP="00B25C9A">
      <w:pPr>
        <w:rPr>
          <w:lang w:eastAsia="ja-JP"/>
        </w:rPr>
      </w:pPr>
      <w:r>
        <w:t>New entrant baselines</w:t>
      </w:r>
      <w:r w:rsidR="00697118">
        <w:t>, like other Safeguard Mechanism reforms,</w:t>
      </w:r>
      <w:r>
        <w:t xml:space="preserve"> will apply from 1 July 2023. Any new facility that become</w:t>
      </w:r>
      <w:r w:rsidR="00737CDA">
        <w:t>s</w:t>
      </w:r>
      <w:r>
        <w:t xml:space="preserve"> covered </w:t>
      </w:r>
      <w:r w:rsidR="00737CDA">
        <w:t xml:space="preserve">by the Safeguard Mechanism </w:t>
      </w:r>
      <w:r>
        <w:t xml:space="preserve">before that date (that is, </w:t>
      </w:r>
      <w:r w:rsidR="00737CDA">
        <w:t>during</w:t>
      </w:r>
      <w:r>
        <w:t xml:space="preserve"> 2022</w:t>
      </w:r>
      <w:r w:rsidR="00737CDA">
        <w:noBreakHyphen/>
      </w:r>
      <w:r>
        <w:t xml:space="preserve">23) will have its baseline set using </w:t>
      </w:r>
      <w:r w:rsidR="00140BBD">
        <w:t>the current methodology (</w:t>
      </w:r>
      <w:r>
        <w:t>published industry average benchmark values</w:t>
      </w:r>
      <w:r w:rsidR="00140BBD">
        <w:t>)</w:t>
      </w:r>
      <w:r>
        <w:t>.</w:t>
      </w:r>
    </w:p>
    <w:p w14:paraId="62FB9982" w14:textId="25AA502A" w:rsidR="001959EC" w:rsidRPr="00343B8A" w:rsidRDefault="00C5786F" w:rsidP="001959EC">
      <w:r>
        <w:t xml:space="preserve">To reduce competitive distortions between new and existing facilities, </w:t>
      </w:r>
      <w:r w:rsidR="00FD7A4D">
        <w:t>international</w:t>
      </w:r>
      <w:r>
        <w:t xml:space="preserve"> best practice will also apply at existing Safeguard facilities if they begin producing new products.</w:t>
      </w:r>
      <w:r w:rsidR="001959EC">
        <w:t xml:space="preserve"> However, they will not apply to facilities that </w:t>
      </w:r>
      <w:r w:rsidR="001959EC" w:rsidRPr="00BA0432">
        <w:t xml:space="preserve">trigger the </w:t>
      </w:r>
      <w:r w:rsidR="001959EC">
        <w:t xml:space="preserve">coverage threshold </w:t>
      </w:r>
      <w:r w:rsidR="00140BBD">
        <w:t xml:space="preserve">(of 100,000 tonnes) </w:t>
      </w:r>
      <w:r w:rsidR="001959EC">
        <w:t xml:space="preserve">after </w:t>
      </w:r>
      <w:proofErr w:type="gramStart"/>
      <w:r w:rsidR="001959EC">
        <w:t>1 July </w:t>
      </w:r>
      <w:r w:rsidR="001959EC" w:rsidRPr="00BA0432">
        <w:t>2023, but</w:t>
      </w:r>
      <w:proofErr w:type="gramEnd"/>
      <w:r w:rsidR="001959EC" w:rsidRPr="00BA0432">
        <w:t xml:space="preserve"> </w:t>
      </w:r>
      <w:r w:rsidR="001959EC">
        <w:t xml:space="preserve">have been operating and reporting under </w:t>
      </w:r>
      <w:r w:rsidR="00BA5D1B">
        <w:t>the National Greenhouse and Energy Reporting scheme</w:t>
      </w:r>
      <w:r w:rsidR="001959EC">
        <w:t xml:space="preserve"> for some time</w:t>
      </w:r>
      <w:r w:rsidR="001959EC" w:rsidRPr="00BA0432">
        <w:t xml:space="preserve"> (unless they start producing a different product).</w:t>
      </w:r>
    </w:p>
    <w:p w14:paraId="693D0E1B" w14:textId="61464469" w:rsidR="00B25C9A" w:rsidRDefault="00140BBD" w:rsidP="00343B8A">
      <w:r>
        <w:t xml:space="preserve">Like other baselines under the </w:t>
      </w:r>
      <w:r w:rsidR="00041601">
        <w:t>reformed</w:t>
      </w:r>
      <w:r w:rsidR="00EA6C9A">
        <w:t xml:space="preserve"> </w:t>
      </w:r>
      <w:r>
        <w:t xml:space="preserve">Safeguard Mechanism, facility </w:t>
      </w:r>
      <w:r w:rsidR="00C5786F">
        <w:t xml:space="preserve">baselines set at </w:t>
      </w:r>
      <w:r w:rsidR="004235C3">
        <w:t>global</w:t>
      </w:r>
      <w:r w:rsidR="00C5786F">
        <w:t xml:space="preserve"> best practice </w:t>
      </w:r>
      <w:r w:rsidR="00BA5D1B">
        <w:t xml:space="preserve">benchmarks </w:t>
      </w:r>
      <w:r w:rsidR="00C5786F">
        <w:t>will fall over time</w:t>
      </w:r>
      <w:r w:rsidR="00737CDA">
        <w:t>,</w:t>
      </w:r>
      <w:r w:rsidR="00C5786F">
        <w:t xml:space="preserve"> so they </w:t>
      </w:r>
      <w:r w:rsidR="00737CDA">
        <w:t xml:space="preserve">contribute </w:t>
      </w:r>
      <w:r w:rsidR="00C5786F">
        <w:t>to meet</w:t>
      </w:r>
      <w:r w:rsidR="00737CDA">
        <w:t>ing</w:t>
      </w:r>
      <w:r w:rsidR="00C5786F">
        <w:t xml:space="preserve"> Australia’s climate goals. </w:t>
      </w:r>
    </w:p>
    <w:p w14:paraId="665301A4" w14:textId="77777777" w:rsidR="001C54D4" w:rsidRDefault="001C54D4" w:rsidP="001C54D4">
      <w:pPr>
        <w:pStyle w:val="Heading2"/>
      </w:pPr>
      <w:r>
        <w:t xml:space="preserve">How will </w:t>
      </w:r>
      <w:r w:rsidR="004235C3">
        <w:t>global</w:t>
      </w:r>
      <w:r>
        <w:t xml:space="preserve"> best practice be determined?</w:t>
      </w:r>
    </w:p>
    <w:p w14:paraId="1972D6A2" w14:textId="77777777" w:rsidR="00123500" w:rsidRDefault="002A3BC5" w:rsidP="00737CDA">
      <w:pPr>
        <w:rPr>
          <w:lang w:eastAsia="ja-JP"/>
        </w:rPr>
      </w:pPr>
      <w:r>
        <w:rPr>
          <w:lang w:eastAsia="ja-JP"/>
        </w:rPr>
        <w:t xml:space="preserve">The </w:t>
      </w:r>
      <w:r w:rsidR="00BC5A50">
        <w:rPr>
          <w:lang w:eastAsia="ja-JP"/>
        </w:rPr>
        <w:t>g</w:t>
      </w:r>
      <w:r>
        <w:rPr>
          <w:lang w:eastAsia="ja-JP"/>
        </w:rPr>
        <w:t>overnment will develop a framework</w:t>
      </w:r>
      <w:r w:rsidR="004235C3">
        <w:rPr>
          <w:lang w:eastAsia="ja-JP"/>
        </w:rPr>
        <w:t xml:space="preserve"> for determining global best </w:t>
      </w:r>
      <w:proofErr w:type="gramStart"/>
      <w:r w:rsidR="004235C3">
        <w:rPr>
          <w:lang w:eastAsia="ja-JP"/>
        </w:rPr>
        <w:t>practice</w:t>
      </w:r>
      <w:r w:rsidR="00123500">
        <w:rPr>
          <w:lang w:eastAsia="ja-JP"/>
        </w:rPr>
        <w:t xml:space="preserve">, </w:t>
      </w:r>
      <w:r w:rsidR="008447D6">
        <w:rPr>
          <w:lang w:eastAsia="ja-JP"/>
        </w:rPr>
        <w:t>and</w:t>
      </w:r>
      <w:proofErr w:type="gramEnd"/>
      <w:r w:rsidR="008447D6">
        <w:rPr>
          <w:lang w:eastAsia="ja-JP"/>
        </w:rPr>
        <w:t xml:space="preserve"> will seek feedback from</w:t>
      </w:r>
      <w:r w:rsidR="00123500">
        <w:rPr>
          <w:lang w:eastAsia="ja-JP"/>
        </w:rPr>
        <w:t xml:space="preserve"> industry</w:t>
      </w:r>
      <w:r w:rsidR="008447D6">
        <w:rPr>
          <w:lang w:eastAsia="ja-JP"/>
        </w:rPr>
        <w:t xml:space="preserve"> on the draft framework</w:t>
      </w:r>
      <w:r w:rsidR="00D65692">
        <w:rPr>
          <w:lang w:eastAsia="ja-JP"/>
        </w:rPr>
        <w:t xml:space="preserve">. </w:t>
      </w:r>
      <w:r w:rsidR="00737CDA">
        <w:rPr>
          <w:lang w:eastAsia="ja-JP"/>
        </w:rPr>
        <w:t xml:space="preserve">It will then apply </w:t>
      </w:r>
      <w:r w:rsidR="00597851">
        <w:rPr>
          <w:lang w:eastAsia="ja-JP"/>
        </w:rPr>
        <w:t xml:space="preserve">the framework </w:t>
      </w:r>
      <w:r w:rsidR="00123500">
        <w:rPr>
          <w:lang w:eastAsia="ja-JP"/>
        </w:rPr>
        <w:t>to develop global best practice benchmarks</w:t>
      </w:r>
      <w:r w:rsidR="00737CDA">
        <w:rPr>
          <w:lang w:eastAsia="ja-JP"/>
        </w:rPr>
        <w:t xml:space="preserve">, which will </w:t>
      </w:r>
      <w:r w:rsidR="00123500">
        <w:rPr>
          <w:lang w:eastAsia="ja-JP"/>
        </w:rPr>
        <w:t>be set in the Safeguard Rule.</w:t>
      </w:r>
    </w:p>
    <w:p w14:paraId="65A0C776" w14:textId="0E24E4A7" w:rsidR="002A3BC5" w:rsidRPr="002A3BC5" w:rsidRDefault="00123500" w:rsidP="002A3BC5">
      <w:pPr>
        <w:rPr>
          <w:lang w:eastAsia="ja-JP"/>
        </w:rPr>
      </w:pPr>
      <w:r>
        <w:rPr>
          <w:lang w:eastAsia="ja-JP"/>
        </w:rPr>
        <w:t>The process will include assessing</w:t>
      </w:r>
      <w:r w:rsidR="004235C3">
        <w:rPr>
          <w:lang w:eastAsia="ja-JP"/>
        </w:rPr>
        <w:t xml:space="preserve"> available information and </w:t>
      </w:r>
      <w:r w:rsidR="00C319D5">
        <w:rPr>
          <w:lang w:eastAsia="ja-JP"/>
        </w:rPr>
        <w:t>identify</w:t>
      </w:r>
      <w:r>
        <w:rPr>
          <w:lang w:eastAsia="ja-JP"/>
        </w:rPr>
        <w:t>ing</w:t>
      </w:r>
      <w:r w:rsidR="00C319D5">
        <w:rPr>
          <w:lang w:eastAsia="ja-JP"/>
        </w:rPr>
        <w:t xml:space="preserve"> </w:t>
      </w:r>
      <w:r w:rsidR="00CB062B">
        <w:rPr>
          <w:lang w:eastAsia="ja-JP"/>
        </w:rPr>
        <w:t xml:space="preserve">comparable </w:t>
      </w:r>
      <w:r w:rsidR="00C319D5">
        <w:rPr>
          <w:lang w:eastAsia="ja-JP"/>
        </w:rPr>
        <w:t xml:space="preserve">international </w:t>
      </w:r>
      <w:r w:rsidR="00CB062B">
        <w:rPr>
          <w:lang w:eastAsia="ja-JP"/>
        </w:rPr>
        <w:t>producers</w:t>
      </w:r>
      <w:r w:rsidR="00C319D5">
        <w:rPr>
          <w:lang w:eastAsia="ja-JP"/>
        </w:rPr>
        <w:t xml:space="preserve">. </w:t>
      </w:r>
      <w:r w:rsidR="00C85E5E">
        <w:rPr>
          <w:lang w:eastAsia="ja-JP"/>
        </w:rPr>
        <w:t>International</w:t>
      </w:r>
      <w:r w:rsidR="00C319D5">
        <w:rPr>
          <w:lang w:eastAsia="ja-JP"/>
        </w:rPr>
        <w:t xml:space="preserve"> best practice will be adapted to Australian circumstances, for example by taking account of the types of metal ore</w:t>
      </w:r>
      <w:r w:rsidR="00737CDA">
        <w:rPr>
          <w:lang w:eastAsia="ja-JP"/>
        </w:rPr>
        <w:t>s</w:t>
      </w:r>
      <w:r w:rsidR="00C319D5">
        <w:rPr>
          <w:lang w:eastAsia="ja-JP"/>
        </w:rPr>
        <w:t xml:space="preserve"> processed in Australia</w:t>
      </w:r>
      <w:r>
        <w:rPr>
          <w:lang w:eastAsia="ja-JP"/>
        </w:rPr>
        <w:t xml:space="preserve"> compared </w:t>
      </w:r>
      <w:r w:rsidR="00BA5D1B">
        <w:rPr>
          <w:lang w:eastAsia="ja-JP"/>
        </w:rPr>
        <w:t>with those processed</w:t>
      </w:r>
      <w:r>
        <w:rPr>
          <w:lang w:eastAsia="ja-JP"/>
        </w:rPr>
        <w:t xml:space="preserve"> </w:t>
      </w:r>
      <w:r w:rsidR="00CB062B">
        <w:rPr>
          <w:lang w:eastAsia="ja-JP"/>
        </w:rPr>
        <w:t>overseas</w:t>
      </w:r>
      <w:r w:rsidR="00C319D5">
        <w:rPr>
          <w:lang w:eastAsia="ja-JP"/>
        </w:rPr>
        <w:t>.</w:t>
      </w:r>
      <w:r w:rsidR="000E35A9">
        <w:rPr>
          <w:lang w:eastAsia="ja-JP"/>
        </w:rPr>
        <w:t xml:space="preserve">  It will</w:t>
      </w:r>
      <w:r w:rsidR="00140BBD">
        <w:rPr>
          <w:lang w:eastAsia="ja-JP"/>
        </w:rPr>
        <w:t xml:space="preserve"> also</w:t>
      </w:r>
      <w:r w:rsidR="000E35A9">
        <w:rPr>
          <w:lang w:eastAsia="ja-JP"/>
        </w:rPr>
        <w:t xml:space="preserve"> </w:t>
      </w:r>
      <w:proofErr w:type="gramStart"/>
      <w:r w:rsidR="000E35A9">
        <w:rPr>
          <w:lang w:eastAsia="ja-JP"/>
        </w:rPr>
        <w:t>take into account</w:t>
      </w:r>
      <w:proofErr w:type="gramEnd"/>
      <w:r w:rsidR="000E35A9">
        <w:rPr>
          <w:lang w:eastAsia="ja-JP"/>
        </w:rPr>
        <w:t xml:space="preserve"> the effect of technologies implemented in Australia and overseas, including renewable energy, low emissions technologies and electrification.</w:t>
      </w:r>
    </w:p>
    <w:p w14:paraId="6410E610" w14:textId="77777777" w:rsidR="00B82095" w:rsidRPr="0080517C" w:rsidRDefault="000913B5" w:rsidP="0080517C">
      <w:pPr>
        <w:pStyle w:val="Heading2"/>
      </w:pPr>
      <w:r>
        <w:lastRenderedPageBreak/>
        <w:t>More</w:t>
      </w:r>
      <w:r w:rsidR="00B82095" w:rsidRPr="0080517C">
        <w:t xml:space="preserve"> information</w:t>
      </w:r>
    </w:p>
    <w:p w14:paraId="7756D8BD" w14:textId="77777777" w:rsidR="00F21AF4" w:rsidRDefault="00306DDE" w:rsidP="00510574">
      <w:r>
        <w:rPr>
          <w:lang w:eastAsia="ja-JP"/>
        </w:rPr>
        <w:t xml:space="preserve">Learn more </w:t>
      </w:r>
      <w:r w:rsidRPr="00DE6EB3">
        <w:rPr>
          <w:lang w:eastAsia="ja-JP"/>
        </w:rPr>
        <w:t xml:space="preserve">about </w:t>
      </w:r>
      <w:r w:rsidRPr="00DE6EB3">
        <w:t xml:space="preserve">the Safeguard Mechanism </w:t>
      </w:r>
      <w:r>
        <w:t>position paper</w:t>
      </w:r>
      <w:r w:rsidRPr="00DE6EB3">
        <w:t xml:space="preserve"> at </w:t>
      </w:r>
      <w:hyperlink r:id="rId12" w:history="1">
        <w:r w:rsidRPr="00510574">
          <w:rPr>
            <w:rStyle w:val="Hyperlink"/>
            <w:b/>
            <w:bCs/>
          </w:rPr>
          <w:t>https://consult.industry.gov.au/safeguard-mechanism-reform-consultation-paper</w:t>
        </w:r>
      </w:hyperlink>
      <w:r w:rsidR="00510574">
        <w:rPr>
          <w:rStyle w:val="Hyperlink"/>
          <w:b/>
          <w:bCs/>
        </w:rPr>
        <w:t>.</w:t>
      </w:r>
    </w:p>
    <w:sectPr w:rsidR="00F21AF4" w:rsidSect="00B250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247" w:bottom="1134" w:left="1247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1FB8C" w14:textId="77777777" w:rsidR="000E35A9" w:rsidRDefault="000E35A9">
      <w:r>
        <w:separator/>
      </w:r>
    </w:p>
    <w:p w14:paraId="7BEC23C4" w14:textId="77777777" w:rsidR="000E35A9" w:rsidRDefault="000E35A9"/>
    <w:p w14:paraId="2D25046D" w14:textId="77777777" w:rsidR="000E35A9" w:rsidRDefault="000E35A9"/>
  </w:endnote>
  <w:endnote w:type="continuationSeparator" w:id="0">
    <w:p w14:paraId="071586A5" w14:textId="77777777" w:rsidR="000E35A9" w:rsidRDefault="000E35A9">
      <w:r>
        <w:continuationSeparator/>
      </w:r>
    </w:p>
    <w:p w14:paraId="5FDB24DC" w14:textId="77777777" w:rsidR="000E35A9" w:rsidRDefault="000E35A9"/>
    <w:p w14:paraId="7521E79F" w14:textId="77777777" w:rsidR="000E35A9" w:rsidRDefault="000E35A9"/>
  </w:endnote>
  <w:endnote w:type="continuationNotice" w:id="1">
    <w:p w14:paraId="46A66022" w14:textId="77777777" w:rsidR="000E35A9" w:rsidRDefault="000E35A9">
      <w:pPr>
        <w:pStyle w:val="Footer"/>
      </w:pPr>
    </w:p>
    <w:p w14:paraId="77C2D39C" w14:textId="77777777" w:rsidR="000E35A9" w:rsidRDefault="000E35A9"/>
    <w:p w14:paraId="083D1105" w14:textId="77777777" w:rsidR="000E35A9" w:rsidRDefault="000E35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A2E0" w14:textId="77777777" w:rsidR="00F45D3A" w:rsidRDefault="00F45D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17C2" w14:textId="77777777" w:rsidR="000542B4" w:rsidRDefault="000542B4" w:rsidP="000542B4">
    <w:pPr>
      <w:pStyle w:val="Footer"/>
    </w:pPr>
    <w:r>
      <w:t xml:space="preserve">Department of </w:t>
    </w:r>
    <w:r w:rsidR="00EC4447">
      <w:t>Climate Change, Energy, the Environment and Water</w:t>
    </w:r>
  </w:p>
  <w:p w14:paraId="57925567" w14:textId="77777777" w:rsidR="000542B4" w:rsidRDefault="00EA6C9A" w:rsidP="000542B4">
    <w:pPr>
      <w:pStyle w:val="Footer"/>
    </w:pP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140BBD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8040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304834" w14:textId="77777777" w:rsidR="000542B4" w:rsidRDefault="009C37F9" w:rsidP="00EC4447">
        <w:pPr>
          <w:pStyle w:val="Footer"/>
        </w:pPr>
        <w:r w:rsidRPr="007B1F92">
          <w:t xml:space="preserve">Department of </w:t>
        </w:r>
        <w:r w:rsidR="006371B7">
          <w:t>Climate Change, Energy, the Environment and Water</w:t>
        </w:r>
      </w:p>
      <w:p w14:paraId="114E9968" w14:textId="77777777" w:rsidR="00577F29" w:rsidRDefault="00A77E8E" w:rsidP="00A77E8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B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BE33" w14:textId="77777777" w:rsidR="000E35A9" w:rsidRDefault="000E35A9">
      <w:r>
        <w:separator/>
      </w:r>
    </w:p>
    <w:p w14:paraId="121E87F7" w14:textId="77777777" w:rsidR="000E35A9" w:rsidRDefault="000E35A9"/>
    <w:p w14:paraId="3852D59D" w14:textId="77777777" w:rsidR="000E35A9" w:rsidRDefault="000E35A9"/>
  </w:footnote>
  <w:footnote w:type="continuationSeparator" w:id="0">
    <w:p w14:paraId="27F84B2C" w14:textId="77777777" w:rsidR="000E35A9" w:rsidRDefault="000E35A9">
      <w:r>
        <w:continuationSeparator/>
      </w:r>
    </w:p>
    <w:p w14:paraId="7B689326" w14:textId="77777777" w:rsidR="000E35A9" w:rsidRDefault="000E35A9"/>
    <w:p w14:paraId="75E21389" w14:textId="77777777" w:rsidR="000E35A9" w:rsidRDefault="000E35A9"/>
  </w:footnote>
  <w:footnote w:type="continuationNotice" w:id="1">
    <w:p w14:paraId="1140373F" w14:textId="77777777" w:rsidR="000E35A9" w:rsidRDefault="000E35A9">
      <w:pPr>
        <w:pStyle w:val="Footer"/>
      </w:pPr>
    </w:p>
    <w:p w14:paraId="67941D90" w14:textId="77777777" w:rsidR="000E35A9" w:rsidRDefault="000E35A9"/>
    <w:p w14:paraId="383F0790" w14:textId="77777777" w:rsidR="000E35A9" w:rsidRDefault="000E35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7248" w14:textId="77777777" w:rsidR="00F45D3A" w:rsidRDefault="00F45D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CFCC" w14:textId="77777777" w:rsidR="000542B4" w:rsidRDefault="00F45D3A">
    <w:pPr>
      <w:pStyle w:val="Header"/>
    </w:pPr>
    <w:r>
      <w:t>Emissions limits at new facilities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1BEA" w14:textId="77777777" w:rsidR="000E455C" w:rsidRDefault="00F21AF4" w:rsidP="00036819">
    <w:pPr>
      <w:pStyle w:val="Footer"/>
      <w:jc w:val="left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6F0A30A7" wp14:editId="74F9652F">
          <wp:simplePos x="0" y="0"/>
          <wp:positionH relativeFrom="column">
            <wp:posOffset>-786765</wp:posOffset>
          </wp:positionH>
          <wp:positionV relativeFrom="page">
            <wp:posOffset>0</wp:posOffset>
          </wp:positionV>
          <wp:extent cx="7559675" cy="1633855"/>
          <wp:effectExtent l="0" t="0" r="3175" b="4445"/>
          <wp:wrapNone/>
          <wp:docPr id="1" name="Picture 1" descr="Department of Climate Change, Energy, the Environment and Wa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partment of Climate Change, Energy, the Environment and Wat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3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A275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EAC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4228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CAB40A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6C21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FFFFFF88"/>
    <w:multiLevelType w:val="singleLevel"/>
    <w:tmpl w:val="8D486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C6322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48C10CA"/>
    <w:multiLevelType w:val="hybridMultilevel"/>
    <w:tmpl w:val="904668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B44397"/>
    <w:multiLevelType w:val="hybridMultilevel"/>
    <w:tmpl w:val="76ECAF6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1" w15:restartNumberingAfterBreak="0">
    <w:nsid w:val="0E3402E6"/>
    <w:multiLevelType w:val="hybridMultilevel"/>
    <w:tmpl w:val="9EEA159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96B606F"/>
    <w:multiLevelType w:val="hybridMultilevel"/>
    <w:tmpl w:val="E0560262"/>
    <w:lvl w:ilvl="0" w:tplc="B9FA6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328D5"/>
    <w:multiLevelType w:val="multilevel"/>
    <w:tmpl w:val="47AAA7EE"/>
    <w:numStyleLink w:val="Numberlist"/>
  </w:abstractNum>
  <w:abstractNum w:abstractNumId="16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B103637"/>
    <w:multiLevelType w:val="multilevel"/>
    <w:tmpl w:val="47AAA7EE"/>
    <w:numStyleLink w:val="Numberlist"/>
  </w:abstractNum>
  <w:abstractNum w:abstractNumId="18" w15:restartNumberingAfterBreak="0">
    <w:nsid w:val="2C6274CC"/>
    <w:multiLevelType w:val="hybridMultilevel"/>
    <w:tmpl w:val="2AAC50D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4A15FE"/>
    <w:multiLevelType w:val="multilevel"/>
    <w:tmpl w:val="F36C17E8"/>
    <w:numStyleLink w:val="Headinglist"/>
  </w:abstractNum>
  <w:abstractNum w:abstractNumId="20" w15:restartNumberingAfterBreak="0">
    <w:nsid w:val="3BD81DEB"/>
    <w:multiLevelType w:val="hybridMultilevel"/>
    <w:tmpl w:val="7FEAC0D6"/>
    <w:lvl w:ilvl="0" w:tplc="6F14B9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4F4729"/>
    <w:multiLevelType w:val="multilevel"/>
    <w:tmpl w:val="A0241B28"/>
    <w:numStyleLink w:val="List1"/>
  </w:abstractNum>
  <w:abstractNum w:abstractNumId="22" w15:restartNumberingAfterBreak="0">
    <w:nsid w:val="437511A8"/>
    <w:multiLevelType w:val="hybridMultilevel"/>
    <w:tmpl w:val="3D5EA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F11B6"/>
    <w:multiLevelType w:val="hybridMultilevel"/>
    <w:tmpl w:val="938E127C"/>
    <w:lvl w:ilvl="0" w:tplc="83C23DE2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6800B4"/>
    <w:multiLevelType w:val="multilevel"/>
    <w:tmpl w:val="A0241B28"/>
    <w:numStyleLink w:val="List1"/>
  </w:abstractNum>
  <w:abstractNum w:abstractNumId="25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159DC"/>
    <w:multiLevelType w:val="multilevel"/>
    <w:tmpl w:val="47AAA7EE"/>
    <w:numStyleLink w:val="Numberlist"/>
  </w:abstractNum>
  <w:abstractNum w:abstractNumId="27" w15:restartNumberingAfterBreak="0">
    <w:nsid w:val="4AFE37F1"/>
    <w:multiLevelType w:val="hybridMultilevel"/>
    <w:tmpl w:val="48CE9E5C"/>
    <w:lvl w:ilvl="0" w:tplc="0C09000F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6" w:hanging="360"/>
      </w:pPr>
    </w:lvl>
    <w:lvl w:ilvl="2" w:tplc="0C09001B" w:tentative="1">
      <w:start w:val="1"/>
      <w:numFmt w:val="lowerRoman"/>
      <w:lvlText w:val="%3."/>
      <w:lvlJc w:val="right"/>
      <w:pPr>
        <w:ind w:left="1806" w:hanging="180"/>
      </w:pPr>
    </w:lvl>
    <w:lvl w:ilvl="3" w:tplc="0C09000F" w:tentative="1">
      <w:start w:val="1"/>
      <w:numFmt w:val="decimal"/>
      <w:lvlText w:val="%4."/>
      <w:lvlJc w:val="left"/>
      <w:pPr>
        <w:ind w:left="2526" w:hanging="360"/>
      </w:pPr>
    </w:lvl>
    <w:lvl w:ilvl="4" w:tplc="0C090019" w:tentative="1">
      <w:start w:val="1"/>
      <w:numFmt w:val="lowerLetter"/>
      <w:lvlText w:val="%5."/>
      <w:lvlJc w:val="left"/>
      <w:pPr>
        <w:ind w:left="3246" w:hanging="360"/>
      </w:pPr>
    </w:lvl>
    <w:lvl w:ilvl="5" w:tplc="0C09001B" w:tentative="1">
      <w:start w:val="1"/>
      <w:numFmt w:val="lowerRoman"/>
      <w:lvlText w:val="%6."/>
      <w:lvlJc w:val="right"/>
      <w:pPr>
        <w:ind w:left="3966" w:hanging="180"/>
      </w:pPr>
    </w:lvl>
    <w:lvl w:ilvl="6" w:tplc="0C09000F" w:tentative="1">
      <w:start w:val="1"/>
      <w:numFmt w:val="decimal"/>
      <w:lvlText w:val="%7."/>
      <w:lvlJc w:val="left"/>
      <w:pPr>
        <w:ind w:left="4686" w:hanging="360"/>
      </w:pPr>
    </w:lvl>
    <w:lvl w:ilvl="7" w:tplc="0C090019" w:tentative="1">
      <w:start w:val="1"/>
      <w:numFmt w:val="lowerLetter"/>
      <w:lvlText w:val="%8."/>
      <w:lvlJc w:val="left"/>
      <w:pPr>
        <w:ind w:left="5406" w:hanging="360"/>
      </w:pPr>
    </w:lvl>
    <w:lvl w:ilvl="8" w:tplc="0C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8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74CFC"/>
    <w:multiLevelType w:val="hybridMultilevel"/>
    <w:tmpl w:val="323CB43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7303BF"/>
    <w:multiLevelType w:val="hybridMultilevel"/>
    <w:tmpl w:val="48CE9E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150A6"/>
    <w:multiLevelType w:val="hybridMultilevel"/>
    <w:tmpl w:val="897AAF82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3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6" w15:restartNumberingAfterBreak="0">
    <w:nsid w:val="61164DD0"/>
    <w:multiLevelType w:val="hybridMultilevel"/>
    <w:tmpl w:val="FC281CCE"/>
    <w:lvl w:ilvl="0" w:tplc="0C0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C090015">
      <w:start w:val="1"/>
      <w:numFmt w:val="upperLetter"/>
      <w:lvlText w:val="%2."/>
      <w:lvlJc w:val="left"/>
      <w:pPr>
        <w:ind w:left="726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7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E0A34"/>
    <w:multiLevelType w:val="hybridMultilevel"/>
    <w:tmpl w:val="38743F72"/>
    <w:lvl w:ilvl="0" w:tplc="B5506130">
      <w:start w:val="1"/>
      <w:numFmt w:val="lowerRoman"/>
      <w:lvlText w:val="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6C8C10A1"/>
    <w:multiLevelType w:val="multilevel"/>
    <w:tmpl w:val="47AAA7EE"/>
    <w:numStyleLink w:val="Numberlist"/>
  </w:abstractNum>
  <w:abstractNum w:abstractNumId="40" w15:restartNumberingAfterBreak="0">
    <w:nsid w:val="733934B7"/>
    <w:multiLevelType w:val="multilevel"/>
    <w:tmpl w:val="A0241B28"/>
    <w:numStyleLink w:val="List1"/>
  </w:abstractNum>
  <w:num w:numId="1">
    <w:abstractNumId w:val="7"/>
  </w:num>
  <w:num w:numId="2">
    <w:abstractNumId w:val="24"/>
  </w:num>
  <w:num w:numId="3">
    <w:abstractNumId w:val="25"/>
  </w:num>
  <w:num w:numId="4">
    <w:abstractNumId w:val="13"/>
  </w:num>
  <w:num w:numId="5">
    <w:abstractNumId w:val="34"/>
  </w:num>
  <w:num w:numId="6">
    <w:abstractNumId w:val="35"/>
  </w:num>
  <w:num w:numId="7">
    <w:abstractNumId w:val="10"/>
  </w:num>
  <w:num w:numId="8">
    <w:abstractNumId w:val="16"/>
  </w:num>
  <w:num w:numId="9">
    <w:abstractNumId w:val="19"/>
  </w:num>
  <w:num w:numId="10">
    <w:abstractNumId w:val="10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14"/>
  </w:num>
  <w:num w:numId="16">
    <w:abstractNumId w:val="32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1"/>
  </w:num>
  <w:num w:numId="20">
    <w:abstractNumId w:val="0"/>
  </w:num>
  <w:num w:numId="21">
    <w:abstractNumId w:val="17"/>
  </w:num>
  <w:num w:numId="22">
    <w:abstractNumId w:val="26"/>
  </w:num>
  <w:num w:numId="23">
    <w:abstractNumId w:val="39"/>
  </w:num>
  <w:num w:numId="24">
    <w:abstractNumId w:val="15"/>
    <w:lvlOverride w:ilvl="0">
      <w:lvl w:ilvl="0">
        <w:start w:val="1"/>
        <w:numFmt w:val="decimal"/>
        <w:pStyle w:val="ListNumber"/>
        <w:lvlText w:val="%1)"/>
        <w:lvlJc w:val="left"/>
        <w:pPr>
          <w:ind w:left="2487" w:hanging="360"/>
        </w:p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pStyle w:val="ListNumber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>
    <w:abstractNumId w:val="21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28"/>
  </w:num>
  <w:num w:numId="29">
    <w:abstractNumId w:val="33"/>
  </w:num>
  <w:num w:numId="30">
    <w:abstractNumId w:val="12"/>
  </w:num>
  <w:num w:numId="31">
    <w:abstractNumId w:val="36"/>
  </w:num>
  <w:num w:numId="32">
    <w:abstractNumId w:val="8"/>
  </w:num>
  <w:num w:numId="33">
    <w:abstractNumId w:val="30"/>
  </w:num>
  <w:num w:numId="34">
    <w:abstractNumId w:val="27"/>
  </w:num>
  <w:num w:numId="35">
    <w:abstractNumId w:val="18"/>
  </w:num>
  <w:num w:numId="36">
    <w:abstractNumId w:val="11"/>
  </w:num>
  <w:num w:numId="37">
    <w:abstractNumId w:val="20"/>
  </w:num>
  <w:num w:numId="38">
    <w:abstractNumId w:val="22"/>
  </w:num>
  <w:num w:numId="39">
    <w:abstractNumId w:val="15"/>
  </w:num>
  <w:num w:numId="40">
    <w:abstractNumId w:val="29"/>
  </w:num>
  <w:num w:numId="41">
    <w:abstractNumId w:val="31"/>
  </w:num>
  <w:num w:numId="42">
    <w:abstractNumId w:val="23"/>
  </w:num>
  <w:num w:numId="43">
    <w:abstractNumId w:val="38"/>
  </w:num>
  <w:num w:numId="44">
    <w:abstractNumId w:val="2"/>
  </w:num>
  <w:num w:numId="45">
    <w:abstractNumId w:val="15"/>
  </w:num>
  <w:num w:numId="4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5A9"/>
    <w:rsid w:val="0000059E"/>
    <w:rsid w:val="0000066F"/>
    <w:rsid w:val="00021590"/>
    <w:rsid w:val="00025D1B"/>
    <w:rsid w:val="000266C4"/>
    <w:rsid w:val="00036819"/>
    <w:rsid w:val="00041601"/>
    <w:rsid w:val="000542B4"/>
    <w:rsid w:val="000618F3"/>
    <w:rsid w:val="00066D0B"/>
    <w:rsid w:val="000717D2"/>
    <w:rsid w:val="000743E2"/>
    <w:rsid w:val="00074A56"/>
    <w:rsid w:val="00080827"/>
    <w:rsid w:val="0008277A"/>
    <w:rsid w:val="000904C1"/>
    <w:rsid w:val="000913B5"/>
    <w:rsid w:val="000A5BA0"/>
    <w:rsid w:val="000B3924"/>
    <w:rsid w:val="000B3C44"/>
    <w:rsid w:val="000C0412"/>
    <w:rsid w:val="000C4558"/>
    <w:rsid w:val="000C5ECE"/>
    <w:rsid w:val="000E35A9"/>
    <w:rsid w:val="000E455C"/>
    <w:rsid w:val="000E7803"/>
    <w:rsid w:val="000F0491"/>
    <w:rsid w:val="001233A8"/>
    <w:rsid w:val="00123500"/>
    <w:rsid w:val="0013052D"/>
    <w:rsid w:val="0013173D"/>
    <w:rsid w:val="00140BBD"/>
    <w:rsid w:val="00190D7E"/>
    <w:rsid w:val="001929D2"/>
    <w:rsid w:val="001959EC"/>
    <w:rsid w:val="001A14AE"/>
    <w:rsid w:val="001A6968"/>
    <w:rsid w:val="001B26DC"/>
    <w:rsid w:val="001B4C5D"/>
    <w:rsid w:val="001C54D4"/>
    <w:rsid w:val="001D0EF3"/>
    <w:rsid w:val="001D6373"/>
    <w:rsid w:val="001E1AF9"/>
    <w:rsid w:val="001E5338"/>
    <w:rsid w:val="001F6C6E"/>
    <w:rsid w:val="00203DE1"/>
    <w:rsid w:val="00220618"/>
    <w:rsid w:val="00237A69"/>
    <w:rsid w:val="00241BFB"/>
    <w:rsid w:val="00275B58"/>
    <w:rsid w:val="00284B41"/>
    <w:rsid w:val="00284B53"/>
    <w:rsid w:val="002A3BC5"/>
    <w:rsid w:val="002B1FAF"/>
    <w:rsid w:val="002E3FD4"/>
    <w:rsid w:val="002F4595"/>
    <w:rsid w:val="00300AFD"/>
    <w:rsid w:val="003032C0"/>
    <w:rsid w:val="00306DDE"/>
    <w:rsid w:val="00336B60"/>
    <w:rsid w:val="00343B8A"/>
    <w:rsid w:val="0035108D"/>
    <w:rsid w:val="003569F9"/>
    <w:rsid w:val="00366721"/>
    <w:rsid w:val="00370990"/>
    <w:rsid w:val="0037698A"/>
    <w:rsid w:val="00392124"/>
    <w:rsid w:val="003937B8"/>
    <w:rsid w:val="003B374D"/>
    <w:rsid w:val="003C35C2"/>
    <w:rsid w:val="003F73D7"/>
    <w:rsid w:val="00411260"/>
    <w:rsid w:val="004235C3"/>
    <w:rsid w:val="00442630"/>
    <w:rsid w:val="0044304D"/>
    <w:rsid w:val="00446CB3"/>
    <w:rsid w:val="00462558"/>
    <w:rsid w:val="00474BB1"/>
    <w:rsid w:val="00495068"/>
    <w:rsid w:val="004A1183"/>
    <w:rsid w:val="004C2DA2"/>
    <w:rsid w:val="004D0888"/>
    <w:rsid w:val="004D41BE"/>
    <w:rsid w:val="004E21DE"/>
    <w:rsid w:val="005019C1"/>
    <w:rsid w:val="00503E8C"/>
    <w:rsid w:val="00510574"/>
    <w:rsid w:val="00515287"/>
    <w:rsid w:val="005157CF"/>
    <w:rsid w:val="00531B5A"/>
    <w:rsid w:val="005457EA"/>
    <w:rsid w:val="00553E9D"/>
    <w:rsid w:val="0055447F"/>
    <w:rsid w:val="00555BEE"/>
    <w:rsid w:val="00567DFC"/>
    <w:rsid w:val="00577F29"/>
    <w:rsid w:val="00597851"/>
    <w:rsid w:val="005A48A6"/>
    <w:rsid w:val="005B613F"/>
    <w:rsid w:val="005C2BFD"/>
    <w:rsid w:val="00607A21"/>
    <w:rsid w:val="00607A36"/>
    <w:rsid w:val="006156DF"/>
    <w:rsid w:val="00625D8D"/>
    <w:rsid w:val="00632A21"/>
    <w:rsid w:val="006360F9"/>
    <w:rsid w:val="006371B7"/>
    <w:rsid w:val="00642F36"/>
    <w:rsid w:val="00646917"/>
    <w:rsid w:val="00654E30"/>
    <w:rsid w:val="00656587"/>
    <w:rsid w:val="00660B1A"/>
    <w:rsid w:val="00696682"/>
    <w:rsid w:val="00697118"/>
    <w:rsid w:val="006B0030"/>
    <w:rsid w:val="006D413F"/>
    <w:rsid w:val="006F6FE8"/>
    <w:rsid w:val="0070464B"/>
    <w:rsid w:val="00721291"/>
    <w:rsid w:val="007258B1"/>
    <w:rsid w:val="00725C8B"/>
    <w:rsid w:val="00737CDA"/>
    <w:rsid w:val="00754CA3"/>
    <w:rsid w:val="0076549B"/>
    <w:rsid w:val="00774FD6"/>
    <w:rsid w:val="00793E18"/>
    <w:rsid w:val="007A3A72"/>
    <w:rsid w:val="007C0010"/>
    <w:rsid w:val="007E69AF"/>
    <w:rsid w:val="0080517C"/>
    <w:rsid w:val="00832638"/>
    <w:rsid w:val="008447D6"/>
    <w:rsid w:val="00865130"/>
    <w:rsid w:val="00892F53"/>
    <w:rsid w:val="00895341"/>
    <w:rsid w:val="008E14F5"/>
    <w:rsid w:val="008E3B54"/>
    <w:rsid w:val="008F1712"/>
    <w:rsid w:val="008F382A"/>
    <w:rsid w:val="008F44CB"/>
    <w:rsid w:val="00902E92"/>
    <w:rsid w:val="0090743D"/>
    <w:rsid w:val="00911F4A"/>
    <w:rsid w:val="00916FC3"/>
    <w:rsid w:val="00931677"/>
    <w:rsid w:val="00943779"/>
    <w:rsid w:val="00970743"/>
    <w:rsid w:val="00974CD6"/>
    <w:rsid w:val="009844EA"/>
    <w:rsid w:val="009B7869"/>
    <w:rsid w:val="009C206F"/>
    <w:rsid w:val="009C37F9"/>
    <w:rsid w:val="009C3FA3"/>
    <w:rsid w:val="009C5CE4"/>
    <w:rsid w:val="009D7044"/>
    <w:rsid w:val="009F714E"/>
    <w:rsid w:val="00A022A9"/>
    <w:rsid w:val="00A04AFD"/>
    <w:rsid w:val="00A130F7"/>
    <w:rsid w:val="00A32860"/>
    <w:rsid w:val="00A62F99"/>
    <w:rsid w:val="00A65D84"/>
    <w:rsid w:val="00A77E8E"/>
    <w:rsid w:val="00A8157A"/>
    <w:rsid w:val="00AA1D89"/>
    <w:rsid w:val="00AA590F"/>
    <w:rsid w:val="00AE1E6E"/>
    <w:rsid w:val="00AE4763"/>
    <w:rsid w:val="00B0121B"/>
    <w:rsid w:val="00B0455B"/>
    <w:rsid w:val="00B11E02"/>
    <w:rsid w:val="00B2506E"/>
    <w:rsid w:val="00B25C9A"/>
    <w:rsid w:val="00B3476F"/>
    <w:rsid w:val="00B43568"/>
    <w:rsid w:val="00B82095"/>
    <w:rsid w:val="00B90975"/>
    <w:rsid w:val="00B90C93"/>
    <w:rsid w:val="00B93571"/>
    <w:rsid w:val="00B94CBD"/>
    <w:rsid w:val="00BA0728"/>
    <w:rsid w:val="00BA2806"/>
    <w:rsid w:val="00BA5D1B"/>
    <w:rsid w:val="00BC321A"/>
    <w:rsid w:val="00BC5A50"/>
    <w:rsid w:val="00BD4F8E"/>
    <w:rsid w:val="00BE345B"/>
    <w:rsid w:val="00BF1A2A"/>
    <w:rsid w:val="00C10320"/>
    <w:rsid w:val="00C319D5"/>
    <w:rsid w:val="00C422BA"/>
    <w:rsid w:val="00C5786F"/>
    <w:rsid w:val="00C6128D"/>
    <w:rsid w:val="00C73278"/>
    <w:rsid w:val="00C765C8"/>
    <w:rsid w:val="00C82029"/>
    <w:rsid w:val="00C85E5E"/>
    <w:rsid w:val="00C9283A"/>
    <w:rsid w:val="00C95039"/>
    <w:rsid w:val="00CA4615"/>
    <w:rsid w:val="00CA7C6F"/>
    <w:rsid w:val="00CB062B"/>
    <w:rsid w:val="00CB6330"/>
    <w:rsid w:val="00CD3A6F"/>
    <w:rsid w:val="00CD6263"/>
    <w:rsid w:val="00CE7F36"/>
    <w:rsid w:val="00CF7D08"/>
    <w:rsid w:val="00D04A3C"/>
    <w:rsid w:val="00D22097"/>
    <w:rsid w:val="00D36C41"/>
    <w:rsid w:val="00D4039B"/>
    <w:rsid w:val="00D47D00"/>
    <w:rsid w:val="00D55A85"/>
    <w:rsid w:val="00D65692"/>
    <w:rsid w:val="00D750D0"/>
    <w:rsid w:val="00D87480"/>
    <w:rsid w:val="00DB71FD"/>
    <w:rsid w:val="00DC453F"/>
    <w:rsid w:val="00DC45A3"/>
    <w:rsid w:val="00DC57F0"/>
    <w:rsid w:val="00DE546F"/>
    <w:rsid w:val="00DF241E"/>
    <w:rsid w:val="00E25A07"/>
    <w:rsid w:val="00E333DF"/>
    <w:rsid w:val="00E44E91"/>
    <w:rsid w:val="00E83C41"/>
    <w:rsid w:val="00E9781D"/>
    <w:rsid w:val="00EA5D76"/>
    <w:rsid w:val="00EA6C9A"/>
    <w:rsid w:val="00EB23B2"/>
    <w:rsid w:val="00EB4B5A"/>
    <w:rsid w:val="00EC2925"/>
    <w:rsid w:val="00EC4447"/>
    <w:rsid w:val="00EC5579"/>
    <w:rsid w:val="00EC5C40"/>
    <w:rsid w:val="00ED774B"/>
    <w:rsid w:val="00EE0118"/>
    <w:rsid w:val="00EE49CE"/>
    <w:rsid w:val="00EE7C8D"/>
    <w:rsid w:val="00EF24B1"/>
    <w:rsid w:val="00EF3918"/>
    <w:rsid w:val="00F21AF4"/>
    <w:rsid w:val="00F25175"/>
    <w:rsid w:val="00F330C3"/>
    <w:rsid w:val="00F40745"/>
    <w:rsid w:val="00F45D3A"/>
    <w:rsid w:val="00F75F33"/>
    <w:rsid w:val="00F84236"/>
    <w:rsid w:val="00F9536E"/>
    <w:rsid w:val="00FC2CE4"/>
    <w:rsid w:val="00FC379E"/>
    <w:rsid w:val="00FD337C"/>
    <w:rsid w:val="00FD3BAE"/>
    <w:rsid w:val="00FD5236"/>
    <w:rsid w:val="00FD7A4D"/>
    <w:rsid w:val="00FD7D5B"/>
    <w:rsid w:val="00FE0F23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FC6B7"/>
  <w15:docId w15:val="{8289738F-E61A-4288-8C86-ECC13495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373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B2506E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83A42" w:themeColor="text1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B2506E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197C7D" w:themeColor="text2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6360F9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1929D2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474BB1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B2506E"/>
    <w:rPr>
      <w:rFonts w:ascii="Calibri" w:eastAsiaTheme="minorHAnsi" w:hAnsi="Calibri" w:cstheme="minorBidi"/>
      <w:b/>
      <w:bCs/>
      <w:color w:val="083A42" w:themeColor="text1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B2506E"/>
    <w:rPr>
      <w:rFonts w:ascii="Calibri" w:eastAsiaTheme="minorEastAsia" w:hAnsi="Calibri" w:cstheme="minorBidi"/>
      <w:b/>
      <w:bCs/>
      <w:color w:val="197C7D" w:themeColor="tex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6360F9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1929D2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474BB1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45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rsid w:val="00241BFB"/>
    <w:pPr>
      <w:numPr>
        <w:ilvl w:val="1"/>
        <w:numId w:val="45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2B1FAF"/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rsid w:val="00B2506E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5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1A14AE"/>
    <w:pPr>
      <w:numPr>
        <w:numId w:val="16"/>
      </w:numPr>
      <w:spacing w:before="60" w:after="60"/>
      <w:ind w:left="403"/>
      <w:contextualSpacing/>
    </w:pPr>
    <w:rPr>
      <w:rFonts w:asciiTheme="minorHAnsi" w:eastAsia="Calibri" w:hAnsiTheme="minorHAnsi"/>
      <w:color w:val="083A42" w:themeColor="text1"/>
      <w:sz w:val="19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083A42" w:themeColor="accent1"/>
    </w:rPr>
  </w:style>
  <w:style w:type="paragraph" w:customStyle="1" w:styleId="TableBullet2">
    <w:name w:val="Table Bullet 2"/>
    <w:basedOn w:val="TableBullet1"/>
    <w:qFormat/>
    <w:rsid w:val="002B1FAF"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F21AF4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F21AF4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B2506E"/>
    <w:pPr>
      <w:spacing w:before="120" w:after="120"/>
    </w:pPr>
    <w:rPr>
      <w:rFonts w:asciiTheme="minorHAnsi" w:eastAsiaTheme="minorHAnsi" w:hAnsiTheme="minorHAnsi" w:cstheme="minorBidi"/>
      <w:b/>
      <w:i/>
      <w:color w:val="197C7D" w:themeColor="text2"/>
      <w:sz w:val="3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7803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1D6373"/>
    <w:pPr>
      <w:numPr>
        <w:ilvl w:val="2"/>
        <w:numId w:val="45"/>
      </w:numPr>
      <w:spacing w:before="120" w:after="120" w:line="264" w:lineRule="auto"/>
      <w:ind w:left="1247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ListParagraph">
    <w:name w:val="List Paragraph"/>
    <w:aliases w:val="Bulleted Para,CV text,Dot pt,F5 List Paragraph,FooterText,L,List Paragraph1,List Paragraph11,List Paragraph111,List Paragraph2,Medium Grid 1 - Accent 21,NFP GP Bulleted List,Numbered Paragraph,Rec para,Recommendation,numbered,列出段落,列出段落1"/>
    <w:basedOn w:val="Normal"/>
    <w:link w:val="ListParagraphChar"/>
    <w:uiPriority w:val="34"/>
    <w:qFormat/>
    <w:rsid w:val="00306DDE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Medium Grid 1 - Accent 21 Char,NFP GP Bulleted List Char"/>
    <w:basedOn w:val="DefaultParagraphFont"/>
    <w:link w:val="ListParagraph"/>
    <w:uiPriority w:val="34"/>
    <w:locked/>
    <w:rsid w:val="00306DD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onsult.industry.gov.au/safeguard-mechanism-reform-consultation-pap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CCEEW">
      <a:dk1>
        <a:srgbClr val="083A42"/>
      </a:dk1>
      <a:lt1>
        <a:srgbClr val="F5FFF5"/>
      </a:lt1>
      <a:dk2>
        <a:srgbClr val="197C7D"/>
      </a:dk2>
      <a:lt2>
        <a:srgbClr val="FFFFFF"/>
      </a:lt2>
      <a:accent1>
        <a:srgbClr val="083A42"/>
      </a:accent1>
      <a:accent2>
        <a:srgbClr val="197C7D"/>
      </a:accent2>
      <a:accent3>
        <a:srgbClr val="9AFFBE"/>
      </a:accent3>
      <a:accent4>
        <a:srgbClr val="F5FFF5"/>
      </a:accent4>
      <a:accent5>
        <a:srgbClr val="D8D8D8"/>
      </a:accent5>
      <a:accent6>
        <a:srgbClr val="191919"/>
      </a:accent6>
      <a:hlink>
        <a:srgbClr val="083A42"/>
      </a:hlink>
      <a:folHlink>
        <a:srgbClr val="33333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>
        <TermInfo xmlns="http://schemas.microsoft.com/office/infopath/2007/PartnerControls">
          <TermName>Safeguard Mechanism</TermName>
          <TermId>462066da-c297-4969-b9e8-878ecfcc0dda</TermId>
        </TermInfo>
      </Terms>
    </adb9bed2e36e4a93af574aeb444da63e>
    <n99e4c9942c6404eb103464a00e6097b xmlns="a36bd50b-1532-4c22-b385-5c082c960938">
      <Terms xmlns="http://schemas.microsoft.com/office/infopath/2007/PartnerControls">
        <TermInfo xmlns="http://schemas.microsoft.com/office/infopath/2007/PartnerControls">
          <TermName>2022</TermName>
          <TermId>4a777a70-2aa9-481e-a746-cca47d761c8e</TermId>
        </TermInfo>
      </Terms>
    </n99e4c9942c6404eb103464a00e6097b>
    <IconOverlay xmlns="http://schemas.microsoft.com/sharepoint/v4" xsi:nil="true"/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>Fact Sheet</TermName>
          <TermId>38af007d-6d80-4dd0-9833-ef17489d7c7e</TermId>
        </TermInfo>
      </Terms>
    </pe2555c81638466f9eb614edb9ecde52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>OFFICIAL</TermName>
          <TermId>6106d03b-a1a0-4e30-9d91-d5e9fb4314f9</TermId>
        </TermInfo>
      </Terms>
    </aa25a1a23adf4c92a153145de6afe324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>Communication</TermName>
          <TermId>cd41d649-1e1a-44f5-b99b-946d42ce56d6</TermId>
        </TermInfo>
      </Terms>
    </g7bcb40ba23249a78edca7d43a67c1c9>
    <TaxCatchAll xmlns="a36bd50b-1532-4c22-b385-5c082c960938">
      <Value>1390</Value>
      <Value>234</Value>
      <Value>3</Value>
      <Value>295</Value>
      <Value>378</Value>
    </TaxCatchAll>
    <Comments xmlns="http://schemas.microsoft.com/sharepoint/v3">Cleared by AG and office</Comm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986DFDE75994F940B8C539C91BA04" ma:contentTypeVersion="14" ma:contentTypeDescription="Create a new document." ma:contentTypeScope="" ma:versionID="4141dd26a2ffeb935ee6c41f54aa8c34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8c4c6479-bb6a-4263-8159-fbb0afc5d491" xmlns:ns4="http://schemas.microsoft.com/sharepoint/v4" targetNamespace="http://schemas.microsoft.com/office/2006/metadata/properties" ma:root="true" ma:fieldsID="35a4915c153d951265893df6741f4417" ns1:_="" ns2:_="" ns3:_="" ns4:_="">
    <xsd:import namespace="http://schemas.microsoft.com/sharepoint/v3"/>
    <xsd:import namespace="a36bd50b-1532-4c22-b385-5c082c960938"/>
    <xsd:import namespace="8c4c6479-bb6a-4263-8159-fbb0afc5d4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0fbe3fec-c611-4c3e-9ea6-f54bcd1bbf7a}" ma:internalName="TaxCatchAll" ma:showField="CatchAllData" ma:web="8c4c6479-bb6a-4263-8159-fbb0afc5d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9d8bf4-53b1-4391-9742-58425172aa6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c6479-bb6a-4263-8159-fbb0afc5d49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B244B9FC-BE17-4C1F-BC78-7348F29087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purl.org/dc/elements/1.1/"/>
    <ds:schemaRef ds:uri="http://schemas.microsoft.com/office/infopath/2007/PartnerControls"/>
    <ds:schemaRef ds:uri="a36bd50b-1532-4c22-b385-5c082c960938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schemas.openxmlformats.org/package/2006/metadata/core-properties"/>
    <ds:schemaRef ds:uri="8c4c6479-bb6a-4263-8159-fbb0afc5d49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C4DD35-4C79-48AE-B003-8E301F450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8c4c6479-bb6a-4263-8159-fbb0afc5d4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63482F-2D20-4449-9283-25A0EAB7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/>
  <LinksUpToDate>false</LinksUpToDate>
  <CharactersWithSpaces>2906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creator>Nicholas, Peter</dc:creator>
  <cp:lastModifiedBy>Jones, Kayleigh</cp:lastModifiedBy>
  <cp:revision>5</cp:revision>
  <cp:lastPrinted>2022-12-11T08:10:00Z</cp:lastPrinted>
  <dcterms:created xsi:type="dcterms:W3CDTF">2023-01-05T12:08:00Z</dcterms:created>
  <dcterms:modified xsi:type="dcterms:W3CDTF">2023-01-09T22:23:00Z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0x0101005BC986DFDE75994F940B8C539C91BA04</vt:lpwstr>
  </property>
  <property fmtid="{D5CDD505-2E9C-101B-9397-08002B2CF9AE}" pid="3" name="DocHub_Year">
    <vt:lpwstr>1390;#2022|4a777a70-2aa9-481e-a746-cca47d761c8e</vt:lpwstr>
  </property>
  <property fmtid="{D5CDD505-2E9C-101B-9397-08002B2CF9AE}" pid="4" name="DocHub_DocumentType">
    <vt:lpwstr>378;#Fact Sheet|38af007d-6d80-4dd0-9833-ef17489d7c7e</vt:lpwstr>
  </property>
  <property fmtid="{D5CDD505-2E9C-101B-9397-08002B2CF9AE}" pid="5" name="DocHub_SecurityClassification">
    <vt:lpwstr>3;#OFFICIAL|6106d03b-a1a0-4e30-9d91-d5e9fb4314f9</vt:lpwstr>
  </property>
  <property fmtid="{D5CDD505-2E9C-101B-9397-08002B2CF9AE}" pid="6" name="DocHub_Keywords">
    <vt:lpwstr>234;#Safeguard Mechanism|462066da-c297-4969-b9e8-878ecfcc0dda</vt:lpwstr>
  </property>
  <property fmtid="{D5CDD505-2E9C-101B-9397-08002B2CF9AE}" pid="7" name="DocHub_WorkActivity">
    <vt:lpwstr>295;#Communication|cd41d649-1e1a-44f5-b99b-946d42ce56d6</vt:lpwstr>
  </property>
</Properties>
</file>